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00" w:rsidRPr="00D23DDC" w:rsidRDefault="005F1F00" w:rsidP="005F1F00">
      <w:pPr>
        <w:pStyle w:val="1"/>
        <w:jc w:val="center"/>
        <w:rPr>
          <w:rFonts w:ascii="Calibri" w:hAnsi="Calibri" w:cs="Calibri"/>
          <w:bCs/>
          <w:sz w:val="22"/>
          <w:szCs w:val="22"/>
          <w:u w:val="single"/>
        </w:rPr>
      </w:pPr>
      <w:bookmarkStart w:id="0" w:name="_Toc116813776"/>
      <w:bookmarkStart w:id="1" w:name="_Toc128644585"/>
      <w:r>
        <w:rPr>
          <w:rFonts w:ascii="Calibri" w:hAnsi="Calibri" w:cs="Calibri"/>
          <w:bCs/>
          <w:sz w:val="22"/>
          <w:szCs w:val="22"/>
          <w:u w:val="single"/>
        </w:rPr>
        <w:t>ΠΑΡΑΡΤΗΜΑ  V</w:t>
      </w:r>
      <w:bookmarkEnd w:id="0"/>
      <w:bookmarkEnd w:id="1"/>
    </w:p>
    <w:p w:rsidR="005F1F00" w:rsidRPr="00D23DDC" w:rsidRDefault="005F1F00" w:rsidP="005F1F00">
      <w:pPr>
        <w:rPr>
          <w:lang w:val="el-GR"/>
        </w:rPr>
      </w:pPr>
    </w:p>
    <w:p w:rsidR="005F1F00" w:rsidRDefault="005F1F00" w:rsidP="005F1F00">
      <w:pPr>
        <w:pStyle w:val="21"/>
        <w:tabs>
          <w:tab w:val="left" w:pos="425"/>
        </w:tabs>
        <w:spacing w:line="276" w:lineRule="auto"/>
        <w:jc w:val="center"/>
      </w:pPr>
      <w:r>
        <w:rPr>
          <w:rFonts w:ascii="Calibri" w:eastAsia="Calibri" w:hAnsi="Calibri" w:cs="Calibri"/>
          <w:bCs/>
          <w:sz w:val="22"/>
          <w:szCs w:val="22"/>
        </w:rPr>
        <w:t xml:space="preserve"> </w:t>
      </w:r>
      <w:bookmarkStart w:id="2" w:name="_GoBack"/>
      <w:r>
        <w:rPr>
          <w:rFonts w:ascii="Calibri" w:hAnsi="Calibri" w:cs="Calibri"/>
          <w:b/>
          <w:bCs/>
          <w:sz w:val="22"/>
          <w:szCs w:val="22"/>
        </w:rPr>
        <w:t xml:space="preserve">Ορισμός  Προβληματικής επιχείρησης </w:t>
      </w:r>
      <w:bookmarkEnd w:id="2"/>
      <w:r>
        <w:rPr>
          <w:rFonts w:ascii="Calibri" w:hAnsi="Calibri" w:cs="Calibri"/>
          <w:b/>
          <w:bCs/>
          <w:sz w:val="22"/>
          <w:szCs w:val="22"/>
        </w:rPr>
        <w:t>σύμφωνα με το  στοιχείο 18 του άρθρου 2 του ΓΑΚ 651/2014</w:t>
      </w:r>
    </w:p>
    <w:p w:rsidR="005F1F00" w:rsidRDefault="005F1F00" w:rsidP="005F1F00">
      <w:pPr>
        <w:pStyle w:val="21"/>
        <w:tabs>
          <w:tab w:val="left" w:pos="425"/>
        </w:tabs>
        <w:spacing w:line="276" w:lineRule="auto"/>
        <w:jc w:val="both"/>
      </w:pPr>
      <w:r>
        <w:rPr>
          <w:rFonts w:ascii="Calibri" w:eastAsia="Calibri" w:hAnsi="Calibri" w:cs="Calibri"/>
          <w:b/>
          <w:bCs/>
          <w:sz w:val="22"/>
          <w:szCs w:val="22"/>
        </w:rPr>
        <w:t xml:space="preserve"> </w:t>
      </w:r>
      <w:r>
        <w:rPr>
          <w:rFonts w:ascii="Calibri" w:hAnsi="Calibri" w:cs="Calibri"/>
          <w:bCs/>
          <w:sz w:val="22"/>
          <w:szCs w:val="22"/>
        </w:rPr>
        <w:t>Προβληματική επιχείρηση είναι η επιχείρηση για την οποία συντρέχει τουλάχιστον μία από τις ακόλουθες προϋποθέσεις:</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Pr>
          <w:rFonts w:ascii="Calibri" w:eastAsia="Noto Serif CJK SC" w:hAnsi="Calibri" w:cs="Calibri"/>
          <w:bCs/>
          <w:kern w:val="2"/>
          <w:sz w:val="22"/>
          <w:szCs w:val="22"/>
          <w:lang w:val="el-GR" w:bidi="hi-IN"/>
        </w:rPr>
        <w:t>επιλεξιμότητα</w:t>
      </w:r>
      <w:proofErr w:type="spellEnd"/>
      <w:r>
        <w:rPr>
          <w:rFonts w:ascii="Calibri" w:eastAsia="Noto Serif CJK SC" w:hAnsi="Calibri" w:cs="Calibri"/>
          <w:bCs/>
          <w:kern w:val="2"/>
          <w:sz w:val="22"/>
          <w:szCs w:val="22"/>
          <w:lang w:val="el-GR" w:bidi="hi-IN"/>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Pr>
          <w:rFonts w:ascii="Calibri" w:eastAsia="Noto Serif CJK SC" w:hAnsi="Calibri" w:cs="Calibri"/>
          <w:bCs/>
          <w:kern w:val="2"/>
          <w:sz w:val="22"/>
          <w:szCs w:val="22"/>
          <w:lang w:val="el-GR" w:bidi="hi-IN"/>
        </w:rPr>
        <w:t>απολεσθεί</w:t>
      </w:r>
      <w:proofErr w:type="spellEnd"/>
      <w:r>
        <w:rPr>
          <w:rFonts w:ascii="Calibri" w:eastAsia="Noto Serif CJK SC" w:hAnsi="Calibri" w:cs="Calibri"/>
          <w:bCs/>
          <w:kern w:val="2"/>
          <w:sz w:val="22"/>
          <w:szCs w:val="22"/>
          <w:lang w:val="el-GR" w:bidi="hi-IN"/>
        </w:rPr>
        <w:t xml:space="preserve">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(1) και ο όρος «κεφάλαιο» περιλαμβάνει, ενδεχομένως,</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 xml:space="preserve">και κάθε διαφορά από έκδοση υπέρ το άρτιο· </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Pr>
          <w:rFonts w:ascii="Calibri" w:eastAsia="Noto Serif CJK SC" w:hAnsi="Calibri" w:cs="Calibri"/>
          <w:bCs/>
          <w:kern w:val="2"/>
          <w:sz w:val="22"/>
          <w:szCs w:val="22"/>
          <w:lang w:val="el-GR" w:bidi="hi-IN"/>
        </w:rPr>
        <w:t>επιλεξιμότητα</w:t>
      </w:r>
      <w:proofErr w:type="spellEnd"/>
      <w:r>
        <w:rPr>
          <w:rFonts w:ascii="Calibri" w:eastAsia="Noto Serif CJK SC" w:hAnsi="Calibri" w:cs="Calibri"/>
          <w:bCs/>
          <w:kern w:val="2"/>
          <w:sz w:val="22"/>
          <w:szCs w:val="22"/>
          <w:lang w:val="el-GR" w:bidi="hi-IN"/>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Pr>
          <w:rFonts w:ascii="Calibri" w:eastAsia="Noto Serif CJK SC" w:hAnsi="Calibri" w:cs="Calibri"/>
          <w:bCs/>
          <w:kern w:val="2"/>
          <w:sz w:val="22"/>
          <w:szCs w:val="22"/>
          <w:lang w:val="el-GR" w:bidi="hi-IN"/>
        </w:rPr>
        <w:t>απολεσθεί</w:t>
      </w:r>
      <w:proofErr w:type="spellEnd"/>
      <w:r>
        <w:rPr>
          <w:rFonts w:ascii="Calibri" w:eastAsia="Noto Serif CJK SC" w:hAnsi="Calibri" w:cs="Calibri"/>
          <w:bCs/>
          <w:kern w:val="2"/>
          <w:sz w:val="22"/>
          <w:szCs w:val="22"/>
          <w:lang w:val="el-GR" w:bidi="hi-IN"/>
        </w:rPr>
        <w:t xml:space="preserve"> πάνω από το ήμισυ του κεφαλαίου της, όπως </w:t>
      </w:r>
      <w:proofErr w:type="spellStart"/>
      <w:r>
        <w:rPr>
          <w:rFonts w:ascii="Calibri" w:eastAsia="Noto Serif CJK SC" w:hAnsi="Calibri" w:cs="Calibri"/>
          <w:bCs/>
          <w:kern w:val="2"/>
          <w:sz w:val="22"/>
          <w:szCs w:val="22"/>
          <w:lang w:val="el-GR" w:bidi="hi-IN"/>
        </w:rPr>
        <w:t>εμφαίνεται</w:t>
      </w:r>
      <w:proofErr w:type="spellEnd"/>
      <w:r>
        <w:rPr>
          <w:rFonts w:ascii="Calibri" w:eastAsia="Noto Serif CJK SC" w:hAnsi="Calibri" w:cs="Calibri"/>
          <w:bCs/>
          <w:kern w:val="2"/>
          <w:sz w:val="22"/>
          <w:szCs w:val="22"/>
          <w:lang w:val="el-GR" w:bidi="hi-IN"/>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ε) εάν πρόκειται για άλλη επιχείρηση εκτός ΜΜΕ, εφόσον τα τελευταία δύο έτη:</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1) ο δείκτης χρέους προς ίδια κεφάλαια της επιχείρησης είναι υψηλότερος του 7,5 και</w:t>
      </w:r>
    </w:p>
    <w:p w:rsidR="005F1F00" w:rsidRDefault="005F1F00" w:rsidP="005F1F00">
      <w:pPr>
        <w:spacing w:line="276" w:lineRule="auto"/>
        <w:rPr>
          <w:lang w:val="el-GR"/>
        </w:rPr>
      </w:pPr>
      <w:r>
        <w:rPr>
          <w:rFonts w:ascii="Calibri" w:eastAsia="Noto Serif CJK SC" w:hAnsi="Calibri" w:cs="Calibri"/>
          <w:bCs/>
          <w:kern w:val="2"/>
          <w:sz w:val="22"/>
          <w:szCs w:val="22"/>
          <w:lang w:val="el-GR" w:bidi="hi-IN"/>
        </w:rPr>
        <w:t xml:space="preserve">2) ο δείκτης κάλυψης χρηματοοικονομικών υποχρεώσεων της επιχείρησης (EBITDA </w:t>
      </w:r>
      <w:proofErr w:type="spellStart"/>
      <w:r>
        <w:rPr>
          <w:rFonts w:ascii="Calibri" w:eastAsia="Noto Serif CJK SC" w:hAnsi="Calibri" w:cs="Calibri"/>
          <w:bCs/>
          <w:kern w:val="2"/>
          <w:sz w:val="22"/>
          <w:szCs w:val="22"/>
          <w:lang w:val="el-GR" w:bidi="hi-IN"/>
        </w:rPr>
        <w:t>interest</w:t>
      </w:r>
      <w:proofErr w:type="spellEnd"/>
      <w:r>
        <w:rPr>
          <w:rFonts w:ascii="Calibri" w:eastAsia="Noto Serif CJK SC" w:hAnsi="Calibri" w:cs="Calibri"/>
          <w:bCs/>
          <w:kern w:val="2"/>
          <w:sz w:val="22"/>
          <w:szCs w:val="22"/>
          <w:lang w:val="el-GR" w:bidi="hi-IN"/>
        </w:rPr>
        <w:t xml:space="preserve"> </w:t>
      </w:r>
      <w:proofErr w:type="spellStart"/>
      <w:r>
        <w:rPr>
          <w:rFonts w:ascii="Calibri" w:eastAsia="Noto Serif CJK SC" w:hAnsi="Calibri" w:cs="Calibri"/>
          <w:bCs/>
          <w:kern w:val="2"/>
          <w:sz w:val="22"/>
          <w:szCs w:val="22"/>
          <w:lang w:val="el-GR" w:bidi="hi-IN"/>
        </w:rPr>
        <w:t>coverage</w:t>
      </w:r>
      <w:proofErr w:type="spellEnd"/>
      <w:r>
        <w:rPr>
          <w:rFonts w:ascii="Calibri" w:eastAsia="Noto Serif CJK SC" w:hAnsi="Calibri" w:cs="Calibri"/>
          <w:bCs/>
          <w:kern w:val="2"/>
          <w:sz w:val="22"/>
          <w:szCs w:val="22"/>
          <w:lang w:val="el-GR" w:bidi="hi-IN"/>
        </w:rPr>
        <w:t xml:space="preserve"> </w:t>
      </w:r>
      <w:proofErr w:type="spellStart"/>
      <w:r>
        <w:rPr>
          <w:rFonts w:ascii="Calibri" w:eastAsia="Noto Serif CJK SC" w:hAnsi="Calibri" w:cs="Calibri"/>
          <w:bCs/>
          <w:kern w:val="2"/>
          <w:sz w:val="22"/>
          <w:szCs w:val="22"/>
          <w:lang w:val="el-GR" w:bidi="hi-IN"/>
        </w:rPr>
        <w:t>ratio</w:t>
      </w:r>
      <w:proofErr w:type="spellEnd"/>
      <w:r>
        <w:rPr>
          <w:rFonts w:ascii="Calibri" w:eastAsia="Noto Serif CJK SC" w:hAnsi="Calibri" w:cs="Calibri"/>
          <w:bCs/>
          <w:kern w:val="2"/>
          <w:sz w:val="22"/>
          <w:szCs w:val="22"/>
          <w:lang w:val="el-GR" w:bidi="hi-IN"/>
        </w:rPr>
        <w:t xml:space="preserve">) </w:t>
      </w:r>
      <w:r>
        <w:rPr>
          <w:rFonts w:ascii="Calibri" w:eastAsia="Noto Serif CJK SC" w:hAnsi="Calibri" w:cs="Calibri"/>
          <w:kern w:val="2"/>
          <w:sz w:val="22"/>
          <w:szCs w:val="22"/>
          <w:lang w:val="el-GR" w:bidi="hi-IN"/>
        </w:rPr>
        <w:t>είναι κάτω του 1,0.</w:t>
      </w:r>
    </w:p>
    <w:p w:rsidR="00A66DB1" w:rsidRPr="005F1F00" w:rsidRDefault="00A66DB1">
      <w:pPr>
        <w:rPr>
          <w:lang w:val="el-GR"/>
        </w:rPr>
      </w:pPr>
    </w:p>
    <w:sectPr w:rsidR="00A66DB1" w:rsidRPr="005F1F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A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00"/>
    <w:rsid w:val="005F1F00"/>
    <w:rsid w:val="00A66D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C28F7-350C-473F-9494-1BAB081F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F00"/>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5F1F00"/>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1F00"/>
    <w:rPr>
      <w:rFonts w:ascii="Times New Roman" w:eastAsia="Times New Roman" w:hAnsi="Times New Roman" w:cs="Times New Roman"/>
      <w:b/>
      <w:sz w:val="24"/>
      <w:szCs w:val="20"/>
      <w:lang w:eastAsia="zh-CN"/>
    </w:rPr>
  </w:style>
  <w:style w:type="paragraph" w:customStyle="1" w:styleId="21">
    <w:name w:val="Σώμα κείμενου 21"/>
    <w:basedOn w:val="a"/>
    <w:qFormat/>
    <w:rsid w:val="005F1F00"/>
    <w:pPr>
      <w:spacing w:after="120" w:line="480" w:lineRule="auto"/>
      <w:jc w:val="left"/>
    </w:pPr>
    <w:rPr>
      <w:rFonts w:ascii="Liberation Serif" w:eastAsia="Noto Serif CJK SC" w:hAnsi="Liberation Serif" w:cs="Lohit Devanagari"/>
      <w:kern w:val="2"/>
      <w:lang w:val="el-G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ΝΕΚΤΑΡΙΑ</dc:creator>
  <cp:keywords/>
  <dc:description/>
  <cp:lastModifiedBy>ΝΕΚΤΑΡΙΑ</cp:lastModifiedBy>
  <cp:revision>1</cp:revision>
  <dcterms:created xsi:type="dcterms:W3CDTF">2023-04-10T07:31:00Z</dcterms:created>
  <dcterms:modified xsi:type="dcterms:W3CDTF">2023-04-10T07:32:00Z</dcterms:modified>
</cp:coreProperties>
</file>