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435" w:rsidRPr="0044407A" w:rsidRDefault="00967435" w:rsidP="00967435">
      <w:pPr>
        <w:jc w:val="center"/>
        <w:rPr>
          <w:rFonts w:asciiTheme="minorHAnsi" w:hAnsiTheme="minorHAnsi" w:cstheme="minorHAnsi"/>
          <w:b/>
          <w:sz w:val="22"/>
          <w:szCs w:val="22"/>
          <w:lang w:val="el-GR"/>
        </w:rPr>
      </w:pPr>
      <w:r w:rsidRPr="005C3EBF">
        <w:rPr>
          <w:rFonts w:asciiTheme="minorHAnsi" w:hAnsiTheme="minorHAnsi" w:cstheme="minorHAnsi"/>
          <w:b/>
          <w:sz w:val="22"/>
          <w:szCs w:val="22"/>
          <w:lang w:val="el-GR"/>
        </w:rPr>
        <w:t>ΠΑΡΑΡΤΗΜΑ Ι</w:t>
      </w:r>
      <w:r w:rsidRPr="005C3EBF">
        <w:rPr>
          <w:rFonts w:asciiTheme="minorHAnsi" w:hAnsiTheme="minorHAnsi" w:cstheme="minorHAnsi"/>
          <w:b/>
          <w:sz w:val="22"/>
          <w:szCs w:val="22"/>
          <w:lang w:val="en-US"/>
        </w:rPr>
        <w:t>II</w:t>
      </w:r>
    </w:p>
    <w:p w:rsidR="00967435" w:rsidRPr="005C3EBF" w:rsidRDefault="00967435" w:rsidP="00967435">
      <w:pPr>
        <w:jc w:val="center"/>
        <w:rPr>
          <w:rFonts w:asciiTheme="minorHAnsi" w:hAnsiTheme="minorHAnsi" w:cstheme="minorHAnsi"/>
          <w:b/>
          <w:sz w:val="22"/>
          <w:szCs w:val="22"/>
          <w:lang w:val="el-GR"/>
        </w:rPr>
      </w:pPr>
    </w:p>
    <w:p w:rsidR="00967435" w:rsidRPr="005C3EBF" w:rsidRDefault="00967435" w:rsidP="00967435">
      <w:pPr>
        <w:pStyle w:val="21"/>
        <w:tabs>
          <w:tab w:val="left" w:pos="425"/>
          <w:tab w:val="left" w:pos="720"/>
        </w:tabs>
        <w:spacing w:line="276" w:lineRule="auto"/>
        <w:jc w:val="both"/>
        <w:rPr>
          <w:rFonts w:ascii="Calibri" w:hAnsi="Calibri" w:cs="Calibri"/>
          <w:b/>
          <w:sz w:val="22"/>
          <w:szCs w:val="22"/>
        </w:rPr>
      </w:pPr>
      <w:r w:rsidRPr="005C3EBF">
        <w:rPr>
          <w:rFonts w:ascii="Calibri" w:hAnsi="Calibri" w:cs="Calibri"/>
          <w:b/>
          <w:bCs/>
          <w:sz w:val="22"/>
          <w:szCs w:val="22"/>
        </w:rPr>
        <w:t xml:space="preserve">Α. Ορισμός Προβληματικής επιχείρησης σύμφωνα με το σημείο 18 του άρθρου 2 του ΓΚΑΚ 651/2014 </w:t>
      </w:r>
      <w:r w:rsidRPr="005C3EBF">
        <w:rPr>
          <w:rFonts w:ascii="Calibri" w:hAnsi="Calibri" w:cs="Calibri"/>
          <w:b/>
          <w:sz w:val="22"/>
          <w:szCs w:val="22"/>
        </w:rPr>
        <w:t>της Επιτροπής της 17ης Ιουνίου 2014 (</w:t>
      </w:r>
      <w:r w:rsidRPr="005C3EBF">
        <w:rPr>
          <w:rFonts w:ascii="Calibri" w:hAnsi="Calibri" w:cs="Calibri"/>
          <w:b/>
          <w:sz w:val="22"/>
          <w:szCs w:val="22"/>
          <w:lang w:val="en-US"/>
        </w:rPr>
        <w:t>L</w:t>
      </w:r>
      <w:r w:rsidRPr="005C3EBF">
        <w:rPr>
          <w:rFonts w:ascii="Calibri" w:hAnsi="Calibri" w:cs="Calibri"/>
          <w:b/>
          <w:sz w:val="22"/>
          <w:szCs w:val="22"/>
        </w:rPr>
        <w:t xml:space="preserve"> 187/1 της 26.6.2014), όπως έχει τροποποιηθεί με την παρ. 2 του άρθρου 1 του Κανονισμού 2023/1315 της 23ης Ιουνίου 2023 (</w:t>
      </w:r>
      <w:r w:rsidRPr="005C3EBF">
        <w:rPr>
          <w:rFonts w:ascii="Calibri" w:hAnsi="Calibri" w:cs="Calibri"/>
          <w:b/>
          <w:sz w:val="22"/>
          <w:szCs w:val="22"/>
          <w:lang w:val="en-US"/>
        </w:rPr>
        <w:t>L</w:t>
      </w:r>
      <w:r w:rsidRPr="005C3EBF">
        <w:rPr>
          <w:rFonts w:ascii="Calibri" w:hAnsi="Calibri" w:cs="Calibri"/>
          <w:b/>
          <w:sz w:val="22"/>
          <w:szCs w:val="22"/>
        </w:rPr>
        <w:t xml:space="preserve"> 167/8 της 30.06.2023) </w:t>
      </w:r>
    </w:p>
    <w:p w:rsidR="00967435" w:rsidRPr="00607326" w:rsidRDefault="00967435" w:rsidP="00967435">
      <w:pPr>
        <w:tabs>
          <w:tab w:val="left" w:pos="426"/>
        </w:tabs>
        <w:spacing w:line="276" w:lineRule="auto"/>
        <w:ind w:right="-58"/>
        <w:rPr>
          <w:rFonts w:ascii="Calibri" w:hAnsi="Calibri" w:cs="Calibri"/>
          <w:sz w:val="22"/>
          <w:szCs w:val="22"/>
          <w:lang w:val="el-GR"/>
        </w:rPr>
      </w:pPr>
      <w:r w:rsidRPr="00607326">
        <w:rPr>
          <w:rFonts w:ascii="Calibri" w:hAnsi="Calibri" w:cs="Calibri"/>
          <w:sz w:val="22"/>
          <w:szCs w:val="22"/>
          <w:lang w:val="el-GR"/>
        </w:rPr>
        <w:t>Προβληματική επιχείρηση είναι η επιχείρηση για την οποία συντρέχει τουλάχιστον μία από τις ακόλουθες προϋποθέσεις:</w:t>
      </w:r>
    </w:p>
    <w:p w:rsidR="00967435" w:rsidRPr="00607326" w:rsidRDefault="00967435" w:rsidP="00967435">
      <w:pPr>
        <w:tabs>
          <w:tab w:val="left" w:pos="426"/>
        </w:tabs>
        <w:spacing w:line="276" w:lineRule="auto"/>
        <w:ind w:right="-58"/>
        <w:rPr>
          <w:rFonts w:ascii="Calibri" w:hAnsi="Calibri" w:cs="Calibri"/>
          <w:sz w:val="22"/>
          <w:szCs w:val="22"/>
          <w:lang w:val="el-GR"/>
        </w:rPr>
      </w:pPr>
      <w:r w:rsidRPr="00607326">
        <w:rPr>
          <w:rFonts w:ascii="Calibri" w:hAnsi="Calibri" w:cs="Calibri"/>
          <w:sz w:val="22"/>
          <w:szCs w:val="22"/>
          <w:lang w:val="el-GR"/>
        </w:rPr>
        <w:t xml:space="preserve">α) εάν πρόκειται για εταιρεία περιορισμένης ευθύνης (πλην ΜΜΕ που δεν έχει συμπληρώσει τριετία από τη σύστασή της ή, όσον αφορά την </w:t>
      </w:r>
      <w:proofErr w:type="spellStart"/>
      <w:r w:rsidRPr="00607326">
        <w:rPr>
          <w:rFonts w:ascii="Calibri" w:hAnsi="Calibri" w:cs="Calibri"/>
          <w:sz w:val="22"/>
          <w:szCs w:val="22"/>
          <w:lang w:val="el-GR"/>
        </w:rPr>
        <w:t>επιλεξιμότητα</w:t>
      </w:r>
      <w:proofErr w:type="spellEnd"/>
      <w:r w:rsidRPr="00607326">
        <w:rPr>
          <w:rFonts w:ascii="Calibri" w:hAnsi="Calibri" w:cs="Calibri"/>
          <w:sz w:val="22"/>
          <w:szCs w:val="22"/>
          <w:lang w:val="el-GR"/>
        </w:rPr>
        <w:t xml:space="preserve"> για ενίσχυση χρηματοδότησης επιχειρηματικού κινδύνου, ΜΜΕ που πληροί την προϋπόθεση του άρθρου 21 παράγραφος 3 στοιχείο β) και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όταν έχει </w:t>
      </w:r>
      <w:proofErr w:type="spellStart"/>
      <w:r w:rsidRPr="00607326">
        <w:rPr>
          <w:rFonts w:ascii="Calibri" w:hAnsi="Calibri" w:cs="Calibri"/>
          <w:sz w:val="22"/>
          <w:szCs w:val="22"/>
          <w:lang w:val="el-GR"/>
        </w:rPr>
        <w:t>απολεσθεί</w:t>
      </w:r>
      <w:proofErr w:type="spellEnd"/>
      <w:r w:rsidRPr="00607326">
        <w:rPr>
          <w:rFonts w:ascii="Calibri" w:hAnsi="Calibri" w:cs="Calibri"/>
          <w:sz w:val="22"/>
          <w:szCs w:val="22"/>
          <w:lang w:val="el-GR"/>
        </w:rPr>
        <w:t xml:space="preserve"> πάνω από το ήμισυ του εγγεγραμμένου εταιρικού της κεφαλαίου λόγω συσσωρευμένων ζημιών. Αυτό ισχύει όταν από την αφαίρεση των συσσωρευμένων ζημιών από τα αποθεματικά (και όλα τα άλλα στοιχεία που θεωρούνται εν γένει μέρος των ιδίων κεφαλαίων της εταιρείας) προκύπτει αρνητικό σωρευτικό ποσό που υπερβαίνει το ήμισυ του εγγεγραμμένου εταιρικού κεφαλαίου. Για την εφαρμογή της παρούσας διάταξης, ο όρος «εταιρεία περιορισμένης ευθύνης» παραπέμπει ιδίως στα είδη εταιρειών που αναφέρονται στο παράρτημα </w:t>
      </w:r>
      <w:r w:rsidRPr="00607326">
        <w:rPr>
          <w:rFonts w:ascii="Calibri" w:hAnsi="Calibri" w:cs="Calibri"/>
          <w:sz w:val="22"/>
          <w:szCs w:val="22"/>
        </w:rPr>
        <w:t>I</w:t>
      </w:r>
      <w:r w:rsidRPr="00607326">
        <w:rPr>
          <w:rFonts w:ascii="Calibri" w:hAnsi="Calibri" w:cs="Calibri"/>
          <w:sz w:val="22"/>
          <w:szCs w:val="22"/>
          <w:lang w:val="el-GR"/>
        </w:rPr>
        <w:t xml:space="preserve"> της οδηγίας 2013/34/ΕΕ του Ευρωπαϊκού Κοινοβουλίου και του Συμβουλίου (*) και ο όρος «κεφάλαιο» περιλαμβάνει, ενδεχομένως, κάθε διαφορά από έκδοση εταιρικών μεριδίων υπέρ το άρτιο.</w:t>
      </w:r>
    </w:p>
    <w:p w:rsidR="00967435" w:rsidRPr="00607326" w:rsidRDefault="00967435" w:rsidP="00967435">
      <w:pPr>
        <w:tabs>
          <w:tab w:val="left" w:pos="426"/>
        </w:tabs>
        <w:spacing w:line="276" w:lineRule="auto"/>
        <w:ind w:right="-58"/>
        <w:rPr>
          <w:rFonts w:ascii="Calibri" w:hAnsi="Calibri" w:cs="Calibri"/>
          <w:sz w:val="22"/>
          <w:szCs w:val="22"/>
          <w:lang w:val="el-GR"/>
        </w:rPr>
      </w:pPr>
      <w:r w:rsidRPr="00607326">
        <w:rPr>
          <w:rFonts w:ascii="Calibri" w:hAnsi="Calibri" w:cs="Calibri"/>
          <w:sz w:val="22"/>
          <w:szCs w:val="22"/>
          <w:lang w:val="el-GR"/>
        </w:rPr>
        <w:t xml:space="preserve">β) εάν πρόκειται για εταιρεία στην οποία τουλάχιστον ορισμένα μέλη έχουν απεριόριστη ευθύνη για τα χρέη της εταιρείας (πλην ΜΜΕ που δεν έχει συμπληρώσει τριετία από τη σύστασή της ή, όσον αφορά την </w:t>
      </w:r>
      <w:proofErr w:type="spellStart"/>
      <w:r w:rsidRPr="00607326">
        <w:rPr>
          <w:rFonts w:ascii="Calibri" w:hAnsi="Calibri" w:cs="Calibri"/>
          <w:sz w:val="22"/>
          <w:szCs w:val="22"/>
          <w:lang w:val="el-GR"/>
        </w:rPr>
        <w:t>επιλεξιμότητα</w:t>
      </w:r>
      <w:proofErr w:type="spellEnd"/>
      <w:r w:rsidRPr="00607326">
        <w:rPr>
          <w:rFonts w:ascii="Calibri" w:hAnsi="Calibri" w:cs="Calibri"/>
          <w:sz w:val="22"/>
          <w:szCs w:val="22"/>
          <w:lang w:val="el-GR"/>
        </w:rPr>
        <w:t xml:space="preserve"> για ενίσχυση χρηματοδότησης επιχειρηματικού κινδύνου, ΜΜΕ που πληροί την προϋπόθεση του άρθρου 21, παράγραφος 3 στοιχείο β) και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εφόσον έχει </w:t>
      </w:r>
      <w:proofErr w:type="spellStart"/>
      <w:r w:rsidRPr="00607326">
        <w:rPr>
          <w:rFonts w:ascii="Calibri" w:hAnsi="Calibri" w:cs="Calibri"/>
          <w:sz w:val="22"/>
          <w:szCs w:val="22"/>
          <w:lang w:val="el-GR"/>
        </w:rPr>
        <w:t>απολεσθεί</w:t>
      </w:r>
      <w:proofErr w:type="spellEnd"/>
      <w:r w:rsidRPr="00607326">
        <w:rPr>
          <w:rFonts w:ascii="Calibri" w:hAnsi="Calibri" w:cs="Calibri"/>
          <w:sz w:val="22"/>
          <w:szCs w:val="22"/>
          <w:lang w:val="el-GR"/>
        </w:rPr>
        <w:t xml:space="preserve"> πάνω από το ήμισυ του κεφαλαίου της, όπως </w:t>
      </w:r>
      <w:proofErr w:type="spellStart"/>
      <w:r w:rsidRPr="00607326">
        <w:rPr>
          <w:rFonts w:ascii="Calibri" w:hAnsi="Calibri" w:cs="Calibri"/>
          <w:sz w:val="22"/>
          <w:szCs w:val="22"/>
          <w:lang w:val="el-GR"/>
        </w:rPr>
        <w:t>εμφαίνεται</w:t>
      </w:r>
      <w:proofErr w:type="spellEnd"/>
      <w:r w:rsidRPr="00607326">
        <w:rPr>
          <w:rFonts w:ascii="Calibri" w:hAnsi="Calibri" w:cs="Calibri"/>
          <w:sz w:val="22"/>
          <w:szCs w:val="22"/>
          <w:lang w:val="el-GR"/>
        </w:rPr>
        <w:t xml:space="preserve"> στους λογαριασμούς της εταιρείας, λόγω συσσωρευμένων ζημιών. Για τους σκοπούς της παρούσας διάταξης, ο όρος «εταιρεία στην οποία τουλάχιστον ορισμένα μέλη έχουν απεριόριστη ευθύνη για τα χρέη της εταιρείας» παραπέμπει ειδικότερα στα είδη εταιρειών που αναφέρονται στο παράρτημα </w:t>
      </w:r>
      <w:r w:rsidRPr="00607326">
        <w:rPr>
          <w:rFonts w:ascii="Calibri" w:hAnsi="Calibri" w:cs="Calibri"/>
          <w:sz w:val="22"/>
          <w:szCs w:val="22"/>
        </w:rPr>
        <w:t>II</w:t>
      </w:r>
      <w:r w:rsidRPr="00607326">
        <w:rPr>
          <w:rFonts w:ascii="Calibri" w:hAnsi="Calibri" w:cs="Calibri"/>
          <w:sz w:val="22"/>
          <w:szCs w:val="22"/>
          <w:lang w:val="el-GR"/>
        </w:rPr>
        <w:t xml:space="preserve"> της οδηγίας 2013/34/ΕΕ.</w:t>
      </w:r>
    </w:p>
    <w:p w:rsidR="00967435" w:rsidRPr="00607326" w:rsidRDefault="00967435" w:rsidP="00967435">
      <w:pPr>
        <w:tabs>
          <w:tab w:val="left" w:pos="426"/>
        </w:tabs>
        <w:spacing w:line="276" w:lineRule="auto"/>
        <w:ind w:right="-58"/>
        <w:rPr>
          <w:rFonts w:ascii="Calibri" w:hAnsi="Calibri" w:cs="Calibri"/>
          <w:sz w:val="22"/>
          <w:szCs w:val="22"/>
          <w:lang w:val="el-GR"/>
        </w:rPr>
      </w:pPr>
      <w:r w:rsidRPr="00607326">
        <w:rPr>
          <w:rFonts w:ascii="Calibri" w:hAnsi="Calibri" w:cs="Calibri"/>
          <w:sz w:val="22"/>
          <w:szCs w:val="22"/>
          <w:lang w:val="el-GR"/>
        </w:rPr>
        <w:t>γ) εάν πρόκειται για εταιρεία που υπάγεται σε συλλογική πτωχευτική διαδικασία ή πληροί τις προϋποθέσεις του εθνικού δικαίου που τη διέπει όσον αφορά την υπαγωγή της σε συλλογική πτωχευτική διαδικασία μετά από αίτημα των πιστωτών της·</w:t>
      </w:r>
    </w:p>
    <w:p w:rsidR="00967435" w:rsidRPr="00607326" w:rsidRDefault="00967435" w:rsidP="00967435">
      <w:pPr>
        <w:tabs>
          <w:tab w:val="left" w:pos="426"/>
        </w:tabs>
        <w:spacing w:line="276" w:lineRule="auto"/>
        <w:ind w:right="-58"/>
        <w:rPr>
          <w:rFonts w:ascii="Calibri" w:hAnsi="Calibri" w:cs="Calibri"/>
          <w:sz w:val="22"/>
          <w:szCs w:val="22"/>
          <w:lang w:val="el-GR"/>
        </w:rPr>
      </w:pPr>
      <w:r w:rsidRPr="00607326">
        <w:rPr>
          <w:rFonts w:ascii="Calibri" w:hAnsi="Calibri" w:cs="Calibri"/>
          <w:sz w:val="22"/>
          <w:szCs w:val="22"/>
          <w:lang w:val="el-GR"/>
        </w:rPr>
        <w:t>δ) εάν πρόκειται για επιχείρηση που έχει λάβει ενίσχυση διάσωσης και δεν έχει ακόμη αποπληρώσει το δάνειο ή λύσει τη σύμβαση εγγύησης ή που έχει λάβει ενίσχυση αναδιάρθρωσης και υπόκειται ακόμη σε σχέδιο αναδιάρθρωσης</w:t>
      </w:r>
    </w:p>
    <w:p w:rsidR="00967435" w:rsidRPr="00607326" w:rsidRDefault="00967435" w:rsidP="00967435">
      <w:pPr>
        <w:tabs>
          <w:tab w:val="left" w:pos="426"/>
        </w:tabs>
        <w:spacing w:line="276" w:lineRule="auto"/>
        <w:ind w:right="-58"/>
        <w:rPr>
          <w:rFonts w:ascii="Calibri" w:hAnsi="Calibri" w:cs="Calibri"/>
          <w:sz w:val="22"/>
          <w:szCs w:val="22"/>
          <w:lang w:val="el-GR"/>
        </w:rPr>
      </w:pPr>
      <w:r w:rsidRPr="00607326">
        <w:rPr>
          <w:rFonts w:ascii="Calibri" w:hAnsi="Calibri" w:cs="Calibri"/>
          <w:sz w:val="22"/>
          <w:szCs w:val="22"/>
          <w:lang w:val="el-GR"/>
        </w:rPr>
        <w:t>ε) εάν πρόκειται για άλλη επιχείρηση εκτός ΜΜΕ, εφόσον τα τελευταία δύο έτη:</w:t>
      </w:r>
    </w:p>
    <w:p w:rsidR="00967435" w:rsidRPr="00607326" w:rsidRDefault="00967435" w:rsidP="00967435">
      <w:pPr>
        <w:tabs>
          <w:tab w:val="left" w:pos="426"/>
        </w:tabs>
        <w:spacing w:line="276" w:lineRule="auto"/>
        <w:ind w:right="-58"/>
        <w:rPr>
          <w:rFonts w:ascii="Calibri" w:hAnsi="Calibri" w:cs="Calibri"/>
          <w:sz w:val="22"/>
          <w:szCs w:val="22"/>
          <w:lang w:val="el-GR"/>
        </w:rPr>
      </w:pPr>
      <w:r w:rsidRPr="00607326">
        <w:rPr>
          <w:rFonts w:ascii="Calibri" w:hAnsi="Calibri" w:cs="Calibri"/>
          <w:sz w:val="22"/>
          <w:szCs w:val="22"/>
          <w:lang w:val="el-GR"/>
        </w:rPr>
        <w:t>1) ο δείκτης χρέους προς ίδια κεφάλαια της επιχείρησης είναι υψηλότερος του 7,5 και</w:t>
      </w:r>
    </w:p>
    <w:p w:rsidR="00967435" w:rsidRPr="00607326" w:rsidRDefault="00967435" w:rsidP="00967435">
      <w:pPr>
        <w:spacing w:line="276" w:lineRule="auto"/>
        <w:ind w:right="-58"/>
        <w:rPr>
          <w:rFonts w:ascii="Calibri" w:hAnsi="Calibri" w:cs="Calibri"/>
          <w:sz w:val="22"/>
          <w:szCs w:val="22"/>
          <w:lang w:val="el-GR"/>
        </w:rPr>
      </w:pPr>
      <w:r w:rsidRPr="00607326">
        <w:rPr>
          <w:rFonts w:ascii="Calibri" w:hAnsi="Calibri" w:cs="Calibri"/>
          <w:sz w:val="22"/>
          <w:szCs w:val="22"/>
          <w:lang w:val="el-GR"/>
        </w:rPr>
        <w:t>2) ο δείκτης κάλυψης χρηματοοικονομικών υποχρεώσεων της επιχείρησης (</w:t>
      </w:r>
      <w:r w:rsidRPr="00607326">
        <w:rPr>
          <w:rFonts w:ascii="Calibri" w:hAnsi="Calibri" w:cs="Calibri"/>
          <w:sz w:val="22"/>
          <w:szCs w:val="22"/>
        </w:rPr>
        <w:t>EBITDA</w:t>
      </w:r>
      <w:r w:rsidRPr="00607326">
        <w:rPr>
          <w:rFonts w:ascii="Calibri" w:hAnsi="Calibri" w:cs="Calibri"/>
          <w:sz w:val="22"/>
          <w:szCs w:val="22"/>
          <w:lang w:val="el-GR"/>
        </w:rPr>
        <w:t xml:space="preserve"> </w:t>
      </w:r>
      <w:r w:rsidRPr="00607326">
        <w:rPr>
          <w:rFonts w:ascii="Calibri" w:hAnsi="Calibri" w:cs="Calibri"/>
          <w:sz w:val="22"/>
          <w:szCs w:val="22"/>
        </w:rPr>
        <w:t>interest</w:t>
      </w:r>
      <w:r w:rsidRPr="00607326">
        <w:rPr>
          <w:rFonts w:ascii="Calibri" w:hAnsi="Calibri" w:cs="Calibri"/>
          <w:sz w:val="22"/>
          <w:szCs w:val="22"/>
          <w:lang w:val="el-GR"/>
        </w:rPr>
        <w:t xml:space="preserve"> </w:t>
      </w:r>
      <w:r w:rsidRPr="00607326">
        <w:rPr>
          <w:rFonts w:ascii="Calibri" w:hAnsi="Calibri" w:cs="Calibri"/>
          <w:sz w:val="22"/>
          <w:szCs w:val="22"/>
        </w:rPr>
        <w:t>coverage</w:t>
      </w:r>
      <w:r w:rsidRPr="00607326">
        <w:rPr>
          <w:rFonts w:ascii="Calibri" w:hAnsi="Calibri" w:cs="Calibri"/>
          <w:sz w:val="22"/>
          <w:szCs w:val="22"/>
          <w:lang w:val="el-GR"/>
        </w:rPr>
        <w:t xml:space="preserve"> </w:t>
      </w:r>
      <w:r w:rsidRPr="00607326">
        <w:rPr>
          <w:rFonts w:ascii="Calibri" w:hAnsi="Calibri" w:cs="Calibri"/>
          <w:sz w:val="22"/>
          <w:szCs w:val="22"/>
        </w:rPr>
        <w:t>ratio</w:t>
      </w:r>
      <w:r w:rsidRPr="00607326">
        <w:rPr>
          <w:rFonts w:ascii="Calibri" w:hAnsi="Calibri" w:cs="Calibri"/>
          <w:sz w:val="22"/>
          <w:szCs w:val="22"/>
          <w:lang w:val="el-GR"/>
        </w:rPr>
        <w:t>) είναι κάτω του 1,0.</w:t>
      </w:r>
    </w:p>
    <w:p w:rsidR="00967435" w:rsidRDefault="00967435" w:rsidP="00967435">
      <w:pPr>
        <w:suppressAutoHyphens w:val="0"/>
        <w:spacing w:after="120" w:line="276" w:lineRule="auto"/>
        <w:ind w:right="-177"/>
        <w:rPr>
          <w:rFonts w:ascii="Calibri" w:hAnsi="Calibri" w:cs="Calibri"/>
          <w:b/>
          <w:sz w:val="22"/>
          <w:szCs w:val="22"/>
          <w:lang w:val="el-GR"/>
        </w:rPr>
      </w:pPr>
    </w:p>
    <w:p w:rsidR="00967435" w:rsidRPr="005C3EBF" w:rsidRDefault="00967435" w:rsidP="00967435">
      <w:pPr>
        <w:suppressAutoHyphens w:val="0"/>
        <w:spacing w:after="120" w:line="276" w:lineRule="auto"/>
        <w:ind w:right="-177"/>
        <w:rPr>
          <w:rFonts w:ascii="Calibri" w:hAnsi="Calibri" w:cs="Calibri"/>
          <w:b/>
          <w:sz w:val="22"/>
          <w:szCs w:val="22"/>
          <w:lang w:val="el-GR"/>
        </w:rPr>
      </w:pPr>
      <w:r w:rsidRPr="005C3EBF">
        <w:rPr>
          <w:rFonts w:ascii="Calibri" w:hAnsi="Calibri" w:cs="Calibri"/>
          <w:b/>
          <w:sz w:val="22"/>
          <w:szCs w:val="22"/>
          <w:lang w:val="el-GR"/>
        </w:rPr>
        <w:lastRenderedPageBreak/>
        <w:t>Β. Ορισμός Σ</w:t>
      </w:r>
      <w:bookmarkStart w:id="0" w:name="_GoBack"/>
      <w:bookmarkEnd w:id="0"/>
      <w:r w:rsidRPr="005C3EBF">
        <w:rPr>
          <w:rFonts w:ascii="Calibri" w:hAnsi="Calibri" w:cs="Calibri"/>
          <w:b/>
          <w:sz w:val="22"/>
          <w:szCs w:val="22"/>
          <w:lang w:val="el-GR"/>
        </w:rPr>
        <w:t>υνδεδεμένων επιχειρήσεων σύμφωνα με την παρ. 3 του άρθρου 3 του Παραρτήματος Ι του ΓΑΚ 651/2014,  όπως ισχύει</w:t>
      </w:r>
    </w:p>
    <w:p w:rsidR="00967435" w:rsidRPr="00607326" w:rsidRDefault="00967435" w:rsidP="00967435">
      <w:pPr>
        <w:tabs>
          <w:tab w:val="left" w:pos="426"/>
        </w:tabs>
        <w:suppressAutoHyphens w:val="0"/>
        <w:spacing w:line="276" w:lineRule="auto"/>
        <w:ind w:right="-177"/>
        <w:rPr>
          <w:rFonts w:ascii="Calibri" w:hAnsi="Calibri" w:cs="Calibri"/>
          <w:sz w:val="22"/>
          <w:szCs w:val="22"/>
          <w:lang w:val="el-GR"/>
        </w:rPr>
      </w:pPr>
      <w:r w:rsidRPr="00607326">
        <w:rPr>
          <w:rFonts w:ascii="Calibri" w:hAnsi="Calibri" w:cs="Calibri"/>
          <w:sz w:val="22"/>
          <w:szCs w:val="22"/>
          <w:lang w:val="el-GR"/>
        </w:rPr>
        <w:t>«Συνδεδεμένες επιχειρήσεις» είναι οι επιχειρήσεις που διατηρούν μεταξύ τους μία από τις ακόλουθες σχέσεις:</w:t>
      </w:r>
    </w:p>
    <w:p w:rsidR="00967435" w:rsidRPr="00607326" w:rsidRDefault="00967435" w:rsidP="00967435">
      <w:pPr>
        <w:tabs>
          <w:tab w:val="left" w:pos="426"/>
        </w:tabs>
        <w:suppressAutoHyphens w:val="0"/>
        <w:spacing w:line="276" w:lineRule="auto"/>
        <w:ind w:right="-177"/>
        <w:rPr>
          <w:rFonts w:ascii="Calibri" w:hAnsi="Calibri" w:cs="Calibri"/>
          <w:sz w:val="22"/>
          <w:szCs w:val="22"/>
          <w:lang w:val="el-GR"/>
        </w:rPr>
      </w:pPr>
      <w:r w:rsidRPr="00607326">
        <w:rPr>
          <w:rFonts w:ascii="Calibri" w:hAnsi="Calibri" w:cs="Calibri"/>
          <w:sz w:val="22"/>
          <w:szCs w:val="22"/>
          <w:lang w:val="el-GR"/>
        </w:rPr>
        <w:t>α)</w:t>
      </w:r>
      <w:r w:rsidRPr="00607326">
        <w:rPr>
          <w:rFonts w:ascii="Calibri" w:hAnsi="Calibri" w:cs="Calibri"/>
          <w:sz w:val="22"/>
          <w:szCs w:val="22"/>
        </w:rPr>
        <w:t> </w:t>
      </w:r>
      <w:r w:rsidRPr="00607326">
        <w:rPr>
          <w:rFonts w:ascii="Calibri" w:hAnsi="Calibri" w:cs="Calibri"/>
          <w:sz w:val="22"/>
          <w:szCs w:val="22"/>
          <w:lang w:val="el-GR"/>
        </w:rPr>
        <w:t>μια επιχείρηση κατέχει την πλειοψηφία των δικαιωμάτων ψήφου των μετόχων ή των εταίρων άλλης επιχείρησης·</w:t>
      </w:r>
    </w:p>
    <w:p w:rsidR="00967435" w:rsidRPr="00607326" w:rsidRDefault="00967435" w:rsidP="00967435">
      <w:pPr>
        <w:tabs>
          <w:tab w:val="left" w:pos="426"/>
        </w:tabs>
        <w:suppressAutoHyphens w:val="0"/>
        <w:spacing w:line="276" w:lineRule="auto"/>
        <w:ind w:right="-177"/>
        <w:rPr>
          <w:rFonts w:ascii="Calibri" w:hAnsi="Calibri" w:cs="Calibri"/>
          <w:sz w:val="22"/>
          <w:szCs w:val="22"/>
          <w:lang w:val="el-GR"/>
        </w:rPr>
      </w:pPr>
      <w:r w:rsidRPr="00607326">
        <w:rPr>
          <w:rFonts w:ascii="Calibri" w:hAnsi="Calibri" w:cs="Calibri"/>
          <w:sz w:val="22"/>
          <w:szCs w:val="22"/>
          <w:lang w:val="el-GR"/>
        </w:rPr>
        <w:t>β)</w:t>
      </w:r>
      <w:r w:rsidRPr="00607326">
        <w:rPr>
          <w:rFonts w:ascii="Calibri" w:hAnsi="Calibri" w:cs="Calibri"/>
          <w:sz w:val="22"/>
          <w:szCs w:val="22"/>
        </w:rPr>
        <w:t> </w:t>
      </w:r>
      <w:r w:rsidRPr="00607326">
        <w:rPr>
          <w:rFonts w:ascii="Calibri" w:hAnsi="Calibri" w:cs="Calibri"/>
          <w:sz w:val="22"/>
          <w:szCs w:val="22"/>
          <w:lang w:val="el-GR"/>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967435" w:rsidRPr="00607326" w:rsidRDefault="00967435" w:rsidP="00967435">
      <w:pPr>
        <w:tabs>
          <w:tab w:val="left" w:pos="426"/>
        </w:tabs>
        <w:suppressAutoHyphens w:val="0"/>
        <w:spacing w:line="276" w:lineRule="auto"/>
        <w:ind w:right="-177"/>
        <w:rPr>
          <w:rFonts w:ascii="Calibri" w:hAnsi="Calibri" w:cs="Calibri"/>
          <w:sz w:val="22"/>
          <w:szCs w:val="22"/>
          <w:lang w:val="el-GR"/>
        </w:rPr>
      </w:pPr>
      <w:r w:rsidRPr="00607326">
        <w:rPr>
          <w:rFonts w:ascii="Calibri" w:hAnsi="Calibri" w:cs="Calibri"/>
          <w:sz w:val="22"/>
          <w:szCs w:val="22"/>
          <w:lang w:val="el-GR"/>
        </w:rPr>
        <w:t>γ)</w:t>
      </w:r>
      <w:r w:rsidRPr="00607326">
        <w:rPr>
          <w:rFonts w:ascii="Calibri" w:hAnsi="Calibri" w:cs="Calibri"/>
          <w:sz w:val="22"/>
          <w:szCs w:val="22"/>
        </w:rPr>
        <w:t> </w:t>
      </w:r>
      <w:r w:rsidRPr="00607326">
        <w:rPr>
          <w:rFonts w:ascii="Calibri" w:hAnsi="Calibri" w:cs="Calibri"/>
          <w:sz w:val="22"/>
          <w:szCs w:val="22"/>
          <w:lang w:val="el-GR"/>
        </w:rPr>
        <w:t>μια επιχείρηση έχει το δικαίωμα να ασκεί κυριαρχική επιρροή σε άλλη επιχείρηση βάσει σύμβασης που έχει συνάψει με αυτήν ή δυνάμει ρήτρας του καταστατικού της τελευταίας·</w:t>
      </w:r>
    </w:p>
    <w:p w:rsidR="00967435" w:rsidRPr="00607326" w:rsidRDefault="00967435" w:rsidP="00967435">
      <w:pPr>
        <w:tabs>
          <w:tab w:val="left" w:pos="426"/>
        </w:tabs>
        <w:suppressAutoHyphens w:val="0"/>
        <w:spacing w:line="276" w:lineRule="auto"/>
        <w:ind w:right="-177"/>
        <w:rPr>
          <w:rFonts w:ascii="Calibri" w:hAnsi="Calibri" w:cs="Calibri"/>
          <w:sz w:val="22"/>
          <w:szCs w:val="22"/>
          <w:lang w:val="el-GR"/>
        </w:rPr>
      </w:pPr>
      <w:r w:rsidRPr="00607326">
        <w:rPr>
          <w:rFonts w:ascii="Calibri" w:hAnsi="Calibri" w:cs="Calibri"/>
          <w:sz w:val="22"/>
          <w:szCs w:val="22"/>
          <w:lang w:val="el-GR"/>
        </w:rPr>
        <w:t>δ)</w:t>
      </w:r>
      <w:r w:rsidRPr="00607326">
        <w:rPr>
          <w:rFonts w:ascii="Calibri" w:hAnsi="Calibri" w:cs="Calibri"/>
          <w:sz w:val="22"/>
          <w:szCs w:val="22"/>
        </w:rPr>
        <w:t> </w:t>
      </w:r>
      <w:r w:rsidRPr="00607326">
        <w:rPr>
          <w:rFonts w:ascii="Calibri" w:hAnsi="Calibri" w:cs="Calibri"/>
          <w:sz w:val="22"/>
          <w:szCs w:val="22"/>
          <w:lang w:val="el-GR"/>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w:t>
      </w:r>
    </w:p>
    <w:p w:rsidR="00967435" w:rsidRPr="00607326" w:rsidRDefault="00967435" w:rsidP="00967435">
      <w:pPr>
        <w:tabs>
          <w:tab w:val="left" w:pos="426"/>
        </w:tabs>
        <w:suppressAutoHyphens w:val="0"/>
        <w:spacing w:line="276" w:lineRule="auto"/>
        <w:ind w:right="-177"/>
        <w:rPr>
          <w:rFonts w:ascii="Calibri" w:hAnsi="Calibri" w:cs="Calibri"/>
          <w:sz w:val="22"/>
          <w:szCs w:val="22"/>
          <w:lang w:val="el-GR"/>
        </w:rPr>
      </w:pPr>
      <w:r w:rsidRPr="00607326">
        <w:rPr>
          <w:rFonts w:ascii="Calibri" w:hAnsi="Calibri" w:cs="Calibri"/>
          <w:sz w:val="22"/>
          <w:szCs w:val="22"/>
          <w:lang w:val="el-GR"/>
        </w:rPr>
        <w:t>Τεκμαίρεται ότι δεν υπάρχει κυριαρχική επιρροή, εφόσον οι επενδυτές που αναφέρονται δεύτερο εδάφιο της παραγράφου 2 του άρθρου 3 του Παραρτήματος Ι του ΓΚΑΚ δεν υπεισέρχονται άμεσα ή έμμεσα στη διαχείριση της εξεταζόμενης επιχείρησης, με την επιφύλαξη των δικαιωμάτων που έχουν με την ιδιότητά τους ως μετόχων ή εταίρων.</w:t>
      </w:r>
    </w:p>
    <w:p w:rsidR="00967435" w:rsidRPr="00607326" w:rsidRDefault="00967435" w:rsidP="00967435">
      <w:pPr>
        <w:tabs>
          <w:tab w:val="left" w:pos="426"/>
        </w:tabs>
        <w:suppressAutoHyphens w:val="0"/>
        <w:spacing w:line="276" w:lineRule="auto"/>
        <w:ind w:right="-177"/>
        <w:rPr>
          <w:rFonts w:ascii="Calibri" w:hAnsi="Calibri" w:cs="Calibri"/>
          <w:sz w:val="22"/>
          <w:szCs w:val="22"/>
          <w:lang w:val="el-GR"/>
        </w:rPr>
      </w:pPr>
      <w:r w:rsidRPr="00607326">
        <w:rPr>
          <w:rFonts w:ascii="Calibri" w:hAnsi="Calibri" w:cs="Calibri"/>
          <w:sz w:val="22"/>
          <w:szCs w:val="22"/>
          <w:lang w:val="el-GR"/>
        </w:rPr>
        <w:t>Συνδεδεμένες θεωρούνται επίσης οι επιχειρήσεις που διατηρούν μια από τις σχέσεις που αναφέρονται στο πρώτο εδάφιο μέσω μιας ή περισσότερων άλλων επιχειρήσεων ή μέσω οποιουδήποτε από τους επενδυτές που αναφέρονται στην παράγραφο 2του άρθρου 3 του Παραρτήματος Ι του ΓΚΑΚ.</w:t>
      </w:r>
    </w:p>
    <w:p w:rsidR="00967435" w:rsidRPr="00607326" w:rsidRDefault="00967435" w:rsidP="00967435">
      <w:pPr>
        <w:tabs>
          <w:tab w:val="left" w:pos="426"/>
        </w:tabs>
        <w:suppressAutoHyphens w:val="0"/>
        <w:spacing w:line="276" w:lineRule="auto"/>
        <w:ind w:right="-177"/>
        <w:rPr>
          <w:rFonts w:ascii="Calibri" w:hAnsi="Calibri" w:cs="Calibri"/>
          <w:sz w:val="22"/>
          <w:szCs w:val="22"/>
          <w:lang w:val="el-GR"/>
        </w:rPr>
      </w:pPr>
      <w:r w:rsidRPr="00607326">
        <w:rPr>
          <w:rFonts w:ascii="Calibri" w:hAnsi="Calibri" w:cs="Calibri"/>
          <w:sz w:val="22"/>
          <w:szCs w:val="22"/>
          <w:lang w:val="el-GR"/>
        </w:rPr>
        <w:t>Οι επιχειρήσεις που διατηρούν μια από τις εν λόγω σχέσεις μέσω φυσικού προσώπου ή ομάδας φυσικών προσώπων που ενεργούν από κοινού θεωρούνται επίσης συνδεδεμένες επιχειρήσεις, εφόσον ασκούν το σύνολο ή τμήμα των δραστηριοτήτων τους στην ίδια αγορά ή σε όμορες αγορές.</w:t>
      </w:r>
    </w:p>
    <w:p w:rsidR="00967435" w:rsidRPr="00607326" w:rsidRDefault="00967435" w:rsidP="00967435">
      <w:pPr>
        <w:tabs>
          <w:tab w:val="left" w:pos="425"/>
        </w:tabs>
        <w:suppressAutoHyphens w:val="0"/>
        <w:spacing w:line="276" w:lineRule="auto"/>
        <w:ind w:right="-177"/>
        <w:rPr>
          <w:rFonts w:ascii="Calibri" w:hAnsi="Calibri" w:cs="Calibri"/>
          <w:sz w:val="22"/>
          <w:szCs w:val="22"/>
          <w:lang w:val="el-GR"/>
        </w:rPr>
      </w:pPr>
      <w:r w:rsidRPr="00607326">
        <w:rPr>
          <w:rFonts w:ascii="Calibri" w:hAnsi="Calibri" w:cs="Calibri"/>
          <w:sz w:val="22"/>
          <w:szCs w:val="22"/>
          <w:lang w:val="el-GR"/>
        </w:rPr>
        <w:t xml:space="preserve">Ως «όμορη αγορά» νοείται η αγορά προϊόντος ή υπηρεσίας που βρίσκεται αμέσως </w:t>
      </w:r>
      <w:proofErr w:type="spellStart"/>
      <w:r w:rsidRPr="00607326">
        <w:rPr>
          <w:rFonts w:ascii="Calibri" w:hAnsi="Calibri" w:cs="Calibri"/>
          <w:sz w:val="22"/>
          <w:szCs w:val="22"/>
          <w:lang w:val="el-GR"/>
        </w:rPr>
        <w:t>ανάντη</w:t>
      </w:r>
      <w:proofErr w:type="spellEnd"/>
      <w:r w:rsidRPr="00607326">
        <w:rPr>
          <w:rFonts w:ascii="Calibri" w:hAnsi="Calibri" w:cs="Calibri"/>
          <w:sz w:val="22"/>
          <w:szCs w:val="22"/>
          <w:lang w:val="el-GR"/>
        </w:rPr>
        <w:t xml:space="preserve"> ή </w:t>
      </w:r>
      <w:proofErr w:type="spellStart"/>
      <w:r w:rsidRPr="00607326">
        <w:rPr>
          <w:rFonts w:ascii="Calibri" w:hAnsi="Calibri" w:cs="Calibri"/>
          <w:sz w:val="22"/>
          <w:szCs w:val="22"/>
          <w:lang w:val="el-GR"/>
        </w:rPr>
        <w:t>κατάντη</w:t>
      </w:r>
      <w:proofErr w:type="spellEnd"/>
      <w:r w:rsidRPr="00607326">
        <w:rPr>
          <w:rFonts w:ascii="Calibri" w:hAnsi="Calibri" w:cs="Calibri"/>
          <w:sz w:val="22"/>
          <w:szCs w:val="22"/>
          <w:lang w:val="el-GR"/>
        </w:rPr>
        <w:t xml:space="preserve"> της σχετικής αγοράς.</w:t>
      </w:r>
    </w:p>
    <w:p w:rsidR="00397496" w:rsidRPr="00967435" w:rsidRDefault="00397496" w:rsidP="00967435">
      <w:pPr>
        <w:suppressAutoHyphens w:val="0"/>
        <w:jc w:val="left"/>
        <w:rPr>
          <w:rFonts w:ascii="Calibri" w:hAnsi="Calibri" w:cs="Calibri"/>
          <w:lang w:val="el-GR"/>
        </w:rPr>
      </w:pPr>
    </w:p>
    <w:sectPr w:rsidR="00397496" w:rsidRPr="009674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35"/>
    <w:rsid w:val="00397496"/>
    <w:rsid w:val="009674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2E08"/>
  <w15:chartTrackingRefBased/>
  <w15:docId w15:val="{A8EF077C-3284-428B-A663-CF0CBE7D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7435"/>
    <w:pPr>
      <w:suppressAutoHyphens/>
      <w:spacing w:after="0" w:line="240" w:lineRule="auto"/>
      <w:jc w:val="both"/>
    </w:pPr>
    <w:rPr>
      <w:rFonts w:ascii="Times New Roman" w:eastAsia="Times New Roman" w:hAnsi="Times New Roman"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Σώμα κείμενου 21"/>
    <w:basedOn w:val="a"/>
    <w:qFormat/>
    <w:rsid w:val="00967435"/>
    <w:pPr>
      <w:spacing w:after="120" w:line="480" w:lineRule="auto"/>
      <w:jc w:val="left"/>
    </w:pPr>
    <w:rPr>
      <w:rFonts w:ascii="Liberation Serif" w:eastAsia="Noto Serif CJK SC" w:hAnsi="Liberation Serif" w:cs="Lohit Devanagari"/>
      <w:kern w:val="2"/>
      <w:lang w:val="el-G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790</Words>
  <Characters>4269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dc:creator>
  <cp:keywords/>
  <dc:description/>
  <cp:lastModifiedBy>ΒΑΣΙΛΙΚΗ</cp:lastModifiedBy>
  <cp:revision>1</cp:revision>
  <dcterms:created xsi:type="dcterms:W3CDTF">2024-11-01T09:02:00Z</dcterms:created>
  <dcterms:modified xsi:type="dcterms:W3CDTF">2024-11-01T09:08:00Z</dcterms:modified>
</cp:coreProperties>
</file>